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603BC1B" w14:textId="49BA9976" w:rsidR="0090114A" w:rsidRPr="006B6A9E" w:rsidRDefault="00DE4784" w:rsidP="0090114A">
      <w:pPr>
        <w:ind w:right="-560"/>
        <w:rPr>
          <w:rFonts w:cs="Arial"/>
          <w:b/>
          <w:sz w:val="24"/>
        </w:rPr>
      </w:pPr>
      <w:r>
        <w:rPr>
          <w:b/>
          <w:sz w:val="24"/>
        </w:rPr>
        <w:t xml:space="preserve">Minimalistiske spots til salg og præsentation </w:t>
      </w:r>
    </w:p>
    <w:p w14:paraId="2EF32FC2" w14:textId="52AC7803" w:rsidR="0030793A" w:rsidRPr="0030793A" w:rsidRDefault="005F49F6" w:rsidP="0030793A">
      <w:pPr>
        <w:ind w:right="-1137"/>
        <w:outlineLvl w:val="0"/>
        <w:rPr>
          <w:rFonts w:cs="Arial"/>
          <w:b/>
          <w:sz w:val="36"/>
        </w:rPr>
      </w:pPr>
      <w:r>
        <w:rPr>
          <w:b/>
          <w:sz w:val="36"/>
        </w:rPr>
        <w:t>Sæt spot på jeres produkter</w:t>
      </w:r>
    </w:p>
    <w:p w14:paraId="6F351A24" w14:textId="4E78E170" w:rsidR="0030793A" w:rsidRPr="005F49F6" w:rsidRDefault="0030793A" w:rsidP="005F49F6">
      <w:pPr>
        <w:ind w:right="-1137"/>
        <w:outlineLvl w:val="0"/>
        <w:rPr>
          <w:rFonts w:cs="Arial"/>
          <w:b/>
          <w:sz w:val="36"/>
        </w:rPr>
      </w:pPr>
    </w:p>
    <w:p w14:paraId="587A85B6" w14:textId="5C0A116B" w:rsidR="00B51461" w:rsidRPr="0030793A" w:rsidRDefault="0030793A" w:rsidP="0075672E">
      <w:pPr>
        <w:pStyle w:val="FlietextHaefele-PR"/>
        <w:spacing w:line="261" w:lineRule="exact"/>
        <w:ind w:right="283"/>
        <w:rPr>
          <w:rFonts w:ascii="Arial" w:hAnsi="Arial" w:cs="Arial"/>
          <w:i/>
          <w:iCs/>
        </w:rPr>
      </w:pPr>
      <w:r>
        <w:rPr>
          <w:rFonts w:ascii="Arial" w:hAnsi="Arial"/>
          <w:i/>
        </w:rPr>
        <w:t>Häfele har</w:t>
      </w:r>
      <w:r w:rsidR="005F49F6">
        <w:rPr>
          <w:rFonts w:ascii="Arial" w:hAnsi="Arial"/>
          <w:i/>
        </w:rPr>
        <w:t xml:space="preserve"> sammen med </w:t>
      </w:r>
      <w:r>
        <w:rPr>
          <w:rFonts w:ascii="Arial" w:hAnsi="Arial"/>
          <w:i/>
        </w:rPr>
        <w:t>datterselskab</w:t>
      </w:r>
      <w:r w:rsidR="005F49F6">
        <w:rPr>
          <w:rFonts w:ascii="Arial" w:hAnsi="Arial"/>
          <w:i/>
        </w:rPr>
        <w:t>et</w:t>
      </w:r>
      <w:r>
        <w:rPr>
          <w:rFonts w:ascii="Arial" w:hAnsi="Arial"/>
          <w:i/>
        </w:rPr>
        <w:t xml:space="preserve"> Nimbus udviklet en ny lampeserie til den ideelle præsentationsbelysning. Spotlamperne der findes under Häfeles mærkevarer Loox, vinder på klart design, solid udførelse og høj lyskvalitet.</w:t>
      </w:r>
    </w:p>
    <w:p w14:paraId="66A2C526" w14:textId="77777777" w:rsidR="0030793A" w:rsidRPr="0030793A" w:rsidRDefault="0030793A" w:rsidP="0075672E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25A4C37E" w14:textId="77777777" w:rsidR="0030793A" w:rsidRPr="0030793A" w:rsidRDefault="0030793A" w:rsidP="0030793A">
      <w:pPr>
        <w:pStyle w:val="FlietextHaefele-PR"/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t>Lampeserien til fokuseret belysning af varer leveres i forskellige varianter der supplerer hinanden perfekt: Minispots belyser produkter nedefra, bittesmå og højdejusterbare spots belyser måske halskæder i glasvitriner ovenfra, og diskrete påbygningslys finder fx deres plads i reolhylder - som hjørneløsning eller indbygningsvariant.</w:t>
      </w:r>
    </w:p>
    <w:p w14:paraId="3CEC716B" w14:textId="77777777" w:rsidR="0030793A" w:rsidRPr="0030793A" w:rsidRDefault="0030793A" w:rsidP="0030793A">
      <w:pPr>
        <w:pStyle w:val="FlietextHaefele-PR"/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t xml:space="preserve"> </w:t>
      </w:r>
    </w:p>
    <w:p w14:paraId="55C7FBFF" w14:textId="72CF4521" w:rsidR="0030793A" w:rsidRPr="0030793A" w:rsidRDefault="0030793A" w:rsidP="0030793A">
      <w:pPr>
        <w:pStyle w:val="FlietextHaefele-PR"/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t>Spotlamperne der leveres i sort og sølvfarvet, er udviklet af Nimbus design</w:t>
      </w:r>
      <w:r w:rsidR="005F49F6">
        <w:rPr>
          <w:rFonts w:ascii="Arial" w:hAnsi="Arial"/>
        </w:rPr>
        <w:t>-</w:t>
      </w:r>
      <w:r>
        <w:rPr>
          <w:rFonts w:ascii="Arial" w:hAnsi="Arial"/>
        </w:rPr>
        <w:t xml:space="preserve"> </w:t>
      </w:r>
      <w:r w:rsidR="005F49F6">
        <w:rPr>
          <w:rFonts w:ascii="Arial" w:hAnsi="Arial"/>
        </w:rPr>
        <w:t>og ingenørteam i Stuttgart</w:t>
      </w:r>
      <w:r>
        <w:rPr>
          <w:rFonts w:ascii="Arial" w:hAnsi="Arial"/>
        </w:rPr>
        <w:t xml:space="preserve">. De dæmpbare lysløsninger har en meget klar og skarp linse, og </w:t>
      </w:r>
      <w:r w:rsidR="005F49F6">
        <w:rPr>
          <w:rFonts w:ascii="Arial" w:hAnsi="Arial"/>
        </w:rPr>
        <w:t>f</w:t>
      </w:r>
      <w:r>
        <w:rPr>
          <w:rFonts w:ascii="Arial" w:hAnsi="Arial"/>
        </w:rPr>
        <w:t xml:space="preserve">or at give en realistisk varebelysning producerer LED-lamperne med CRI &gt;90 en optimal farvegengivelse. Med det drejelige lampehoved på størrelse med 1 euro i diameter kan spotlamperne altid tilpasses fleksibelt til udstillingerne. </w:t>
      </w:r>
    </w:p>
    <w:p w14:paraId="741B5594" w14:textId="77777777" w:rsidR="0030793A" w:rsidRPr="0030793A" w:rsidRDefault="0030793A" w:rsidP="0030793A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57AEF6D7" w14:textId="2F27D750" w:rsidR="0030793A" w:rsidRPr="0030793A" w:rsidRDefault="005F49F6" w:rsidP="0030793A">
      <w:pPr>
        <w:pStyle w:val="FlietextHaefele-PR"/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  <w:b/>
        </w:rPr>
        <w:t>Smart lyssystem til jeres butik</w:t>
      </w:r>
    </w:p>
    <w:p w14:paraId="1B0561E3" w14:textId="75623B2E" w:rsidR="004E4DB2" w:rsidRDefault="0030793A" w:rsidP="0030793A">
      <w:pPr>
        <w:pStyle w:val="FlietextHaefele-PR"/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t xml:space="preserve">Den nye serie af spotlamper kan programmeres via Häfele Connect Mesh og integreres i lysscenarier. Lamperne kan styres trådløst med det samme system som Häfeles Dialock elektroniske møbellåse. På denne måde kan </w:t>
      </w:r>
      <w:r w:rsidR="005F49F6">
        <w:rPr>
          <w:rFonts w:ascii="Arial" w:hAnsi="Arial"/>
        </w:rPr>
        <w:t>I</w:t>
      </w:r>
      <w:r>
        <w:rPr>
          <w:rFonts w:ascii="Arial" w:hAnsi="Arial"/>
        </w:rPr>
        <w:t xml:space="preserve"> fx bruge en smartphone og Häfele Connect Mesh app til at indstille at spotlamperne ved åbning af vitrinen tænder eller dæmpes til et andet lysniveau. </w:t>
      </w:r>
    </w:p>
    <w:p w14:paraId="7BA7519D" w14:textId="3ECFA034" w:rsidR="005F49F6" w:rsidRDefault="005F49F6" w:rsidP="0030793A">
      <w:pPr>
        <w:pStyle w:val="FlietextHaefele-PR"/>
        <w:spacing w:line="261" w:lineRule="exact"/>
        <w:ind w:right="283"/>
        <w:rPr>
          <w:rFonts w:ascii="Arial" w:hAnsi="Arial"/>
        </w:rPr>
      </w:pPr>
    </w:p>
    <w:p w14:paraId="401B3E21" w14:textId="4D9C1CF4" w:rsidR="00B51461" w:rsidRPr="0030793A" w:rsidRDefault="005F49F6" w:rsidP="0030793A">
      <w:pPr>
        <w:pStyle w:val="FlietextHaefele-PR"/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t xml:space="preserve">Derved får I </w:t>
      </w:r>
      <w:r w:rsidR="0030793A">
        <w:rPr>
          <w:rFonts w:ascii="Arial" w:hAnsi="Arial"/>
        </w:rPr>
        <w:t xml:space="preserve">en holistisk og harmonisk afstemt lysoplevelse i </w:t>
      </w:r>
      <w:r w:rsidR="00214414">
        <w:rPr>
          <w:rFonts w:ascii="Arial" w:hAnsi="Arial"/>
        </w:rPr>
        <w:t>jeres butik</w:t>
      </w:r>
      <w:r w:rsidR="0030793A">
        <w:rPr>
          <w:rFonts w:ascii="Arial" w:hAnsi="Arial"/>
        </w:rPr>
        <w:t>.</w:t>
      </w:r>
    </w:p>
    <w:p w14:paraId="6117E053" w14:textId="77777777" w:rsidR="002D0052" w:rsidRPr="0030793A" w:rsidRDefault="002D0052" w:rsidP="00E8109D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67BA02E2" w14:textId="219C0696" w:rsidR="00C615AC" w:rsidRPr="0030793A" w:rsidRDefault="00214414" w:rsidP="00E8109D">
      <w:pPr>
        <w:pStyle w:val="FlietextHaefele-PR"/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t>Se udvalget af vores Loox spotlamper her eller kontakt en af vores konsulenter</w:t>
      </w:r>
      <w:r w:rsidR="00D26CA4">
        <w:rPr>
          <w:rFonts w:ascii="Arial" w:hAnsi="Arial"/>
        </w:rPr>
        <w:t xml:space="preserve"> på tlf.: 97 51 15 22</w:t>
      </w:r>
    </w:p>
    <w:p w14:paraId="09216A7B" w14:textId="77777777" w:rsidR="00FD16B1" w:rsidRPr="006B6A9E" w:rsidRDefault="00FD16B1" w:rsidP="00E8109D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203BAEDA" w14:textId="64B89CC3" w:rsidR="00382896" w:rsidRPr="00D26CA4" w:rsidRDefault="00382896">
      <w:pPr>
        <w:suppressAutoHyphens w:val="0"/>
        <w:rPr>
          <w:rFonts w:eastAsia="Times" w:cs="Arial"/>
          <w:b/>
          <w:sz w:val="24"/>
        </w:rPr>
      </w:pPr>
    </w:p>
    <w:p w14:paraId="57D4BA48" w14:textId="2084C9B1" w:rsidR="00B635F3" w:rsidRPr="006B6A9E" w:rsidRDefault="00B635F3" w:rsidP="00B635F3">
      <w:pPr>
        <w:pStyle w:val="FlietextHaefele-PR"/>
        <w:spacing w:line="261" w:lineRule="exact"/>
        <w:ind w:right="283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Billedtekster: </w:t>
      </w:r>
    </w:p>
    <w:p w14:paraId="14B93906" w14:textId="255B75CD" w:rsidR="00681BF1" w:rsidRPr="006B6A9E" w:rsidRDefault="00681BF1" w:rsidP="00F83A39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</w:rPr>
      </w:pPr>
    </w:p>
    <w:p w14:paraId="6912DD15" w14:textId="77777777" w:rsidR="007B55EE" w:rsidRDefault="006846A6" w:rsidP="00F83A39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t>221116_fig1_Häfele_Spotleuchten.jpg</w:t>
      </w:r>
    </w:p>
    <w:p w14:paraId="5887BAC2" w14:textId="3F1F4BE1" w:rsidR="007B55EE" w:rsidRDefault="007B55EE" w:rsidP="00F83A39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t>221116_fig2_Häfele_Spotleuchten.jpg</w:t>
      </w:r>
    </w:p>
    <w:p w14:paraId="3E95CD6A" w14:textId="60D39B6A" w:rsidR="007B55EE" w:rsidRDefault="007B55EE" w:rsidP="00F83A39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lastRenderedPageBreak/>
        <w:t>221116_fig3_Häfele_Spotleuchten.jpg</w:t>
      </w:r>
    </w:p>
    <w:p w14:paraId="327ADB26" w14:textId="0E4AB77C" w:rsidR="007B55EE" w:rsidRDefault="007B55EE" w:rsidP="00F83A39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/>
        <w:rPr>
          <w:rFonts w:ascii="Arial" w:hAnsi="Arial" w:cs="Arial"/>
        </w:rPr>
      </w:pPr>
    </w:p>
    <w:p w14:paraId="5568F9C2" w14:textId="0ACDAC97" w:rsidR="00B635F3" w:rsidRPr="006B6A9E" w:rsidRDefault="00184B73" w:rsidP="00F83A39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t>De forskellige spotlamper i Häfeles nye serie supplerer hinanden perfekt. Afhængig af den ønskede effekt kan lamperne styres enkeltvis og dæmpes til det ønskede lysniveau for direkte at fremhæve objekter.</w:t>
      </w:r>
    </w:p>
    <w:p w14:paraId="6B9B6A5B" w14:textId="721C6AF9" w:rsidR="00014495" w:rsidRDefault="00014495" w:rsidP="000144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A5A5A"/>
          <w:sz w:val="21"/>
          <w:szCs w:val="21"/>
        </w:rPr>
      </w:pPr>
      <w:r>
        <w:rPr>
          <w:rFonts w:ascii="Arial" w:hAnsi="Arial"/>
          <w:color w:val="5A5A5A"/>
          <w:sz w:val="21"/>
        </w:rPr>
        <w:t> </w:t>
      </w:r>
    </w:p>
    <w:p w14:paraId="4740C6F8" w14:textId="2B9F9247" w:rsidR="007B55EE" w:rsidRPr="007B55EE" w:rsidRDefault="007B55EE" w:rsidP="007B55EE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t>221116_fig4_Häfele_Spotleuchten.jpg</w:t>
      </w:r>
    </w:p>
    <w:p w14:paraId="464B4F95" w14:textId="1ED86896" w:rsidR="00014495" w:rsidRPr="006B6A9E" w:rsidRDefault="00014495" w:rsidP="00B635F3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  <w:highlight w:val="yellow"/>
        </w:rPr>
      </w:pPr>
    </w:p>
    <w:p w14:paraId="1B1911DE" w14:textId="34178E14" w:rsidR="001C1B93" w:rsidRDefault="007B55EE" w:rsidP="00B635F3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</w:rPr>
      </w:pPr>
      <w:bookmarkStart w:id="0" w:name="_GoBack"/>
      <w:r>
        <w:rPr>
          <w:rFonts w:ascii="Arial" w:hAnsi="Arial"/>
        </w:rPr>
        <w:t>De bittesmå og højdejusterbare Loox5 LED-spots egner sig perfekt til at belyse fx halskæder i glasvitriner fokuseret ovenfra. De leveres i sort mat eller sølvfarvet og den smalle spredningsvinkel sætter et klart fokus.</w:t>
      </w:r>
    </w:p>
    <w:bookmarkEnd w:id="0"/>
    <w:p w14:paraId="06B263DF" w14:textId="050E0361" w:rsidR="007B55EE" w:rsidRDefault="007B55EE" w:rsidP="00B635F3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</w:rPr>
      </w:pPr>
    </w:p>
    <w:p w14:paraId="05A4669A" w14:textId="2223B3D3" w:rsidR="007B55EE" w:rsidRDefault="007B55EE" w:rsidP="00B635F3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</w:rPr>
      </w:pPr>
      <w:r>
        <w:rPr>
          <w:rFonts w:ascii="Arial" w:hAnsi="Arial"/>
        </w:rPr>
        <w:t>221116_fig5a_Häfele_Spotleuchten.png</w:t>
      </w:r>
    </w:p>
    <w:p w14:paraId="4EB669D6" w14:textId="4C1CD7FF" w:rsidR="007B55EE" w:rsidRDefault="007B55EE" w:rsidP="00B635F3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</w:rPr>
      </w:pPr>
      <w:r>
        <w:rPr>
          <w:rFonts w:ascii="Arial" w:hAnsi="Arial"/>
        </w:rPr>
        <w:t>221116_fig5b_Häfele_Spotleuchten.png</w:t>
      </w:r>
    </w:p>
    <w:p w14:paraId="0997209D" w14:textId="308AAEB1" w:rsidR="007B55EE" w:rsidRDefault="007B55EE" w:rsidP="00B635F3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</w:rPr>
      </w:pPr>
    </w:p>
    <w:p w14:paraId="535C9BE9" w14:textId="5B75742E" w:rsidR="007B55EE" w:rsidRDefault="007B55EE" w:rsidP="00B635F3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</w:rPr>
      </w:pPr>
      <w:r>
        <w:rPr>
          <w:rFonts w:ascii="Arial" w:hAnsi="Arial"/>
        </w:rPr>
        <w:t>Med en højde på 50 mm kan Loox5 LED-spotlamperne både monteres på bunden og i toppen af udstillingsmontrer. Lamperne der leveres i sort eller sølvfarvet, er højdejusterbare og kan drejes.</w:t>
      </w:r>
    </w:p>
    <w:p w14:paraId="60188DDD" w14:textId="50BDA0A0" w:rsidR="007B55EE" w:rsidRDefault="007B55EE" w:rsidP="00B635F3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</w:rPr>
      </w:pPr>
    </w:p>
    <w:p w14:paraId="15C7F41E" w14:textId="43590D52" w:rsidR="007B55EE" w:rsidRDefault="007B55EE" w:rsidP="00B635F3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</w:rPr>
      </w:pPr>
      <w:r>
        <w:rPr>
          <w:rFonts w:ascii="Arial" w:hAnsi="Arial"/>
        </w:rPr>
        <w:t>221116_fig6a_Häfele_Spotleuchten.png</w:t>
      </w:r>
    </w:p>
    <w:p w14:paraId="4A60CB9E" w14:textId="491E661D" w:rsidR="009D4423" w:rsidRPr="006B6A9E" w:rsidRDefault="009D4423" w:rsidP="00B635F3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</w:rPr>
      </w:pPr>
      <w:r>
        <w:rPr>
          <w:rFonts w:ascii="Arial" w:hAnsi="Arial"/>
        </w:rPr>
        <w:t>221116_fig6b_Häfele_Spotleuchten.png</w:t>
      </w:r>
    </w:p>
    <w:p w14:paraId="73C3B4B9" w14:textId="77777777" w:rsidR="00B635F3" w:rsidRPr="006B6A9E" w:rsidRDefault="00B635F3" w:rsidP="00B635F3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</w:rPr>
      </w:pPr>
    </w:p>
    <w:p w14:paraId="5C97AF17" w14:textId="3AC07B0D" w:rsidR="00CE15FC" w:rsidRDefault="009D4423" w:rsidP="00E8109D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</w:rPr>
      </w:pPr>
      <w:r>
        <w:rPr>
          <w:rFonts w:ascii="Arial" w:hAnsi="Arial"/>
        </w:rPr>
        <w:t>De 400 mm høje Loox5 LED-spots giver fokuseret præsentationslys på objekter i butikker eller museer. Lamperne der leveres i sort eller sølvfarvet, er højdejusterbare og kan drejes.</w:t>
      </w:r>
    </w:p>
    <w:p w14:paraId="053D6CF4" w14:textId="301AC034" w:rsidR="00184B73" w:rsidRDefault="00184B73" w:rsidP="00E8109D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</w:rPr>
      </w:pPr>
    </w:p>
    <w:p w14:paraId="0D4C523A" w14:textId="01340755" w:rsidR="00184B73" w:rsidRDefault="00184B73" w:rsidP="00E8109D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</w:rPr>
      </w:pPr>
      <w:r>
        <w:rPr>
          <w:rFonts w:ascii="Arial" w:hAnsi="Arial"/>
        </w:rPr>
        <w:t>221116_fig7a_Häfele_Spotleuchten.png</w:t>
      </w:r>
    </w:p>
    <w:p w14:paraId="4409EFD1" w14:textId="0EC1E478" w:rsidR="00184B73" w:rsidRDefault="00184B73" w:rsidP="00E8109D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</w:rPr>
      </w:pPr>
      <w:r>
        <w:rPr>
          <w:rFonts w:ascii="Arial" w:hAnsi="Arial"/>
        </w:rPr>
        <w:t>221116_fig7b_Häfele_Spotleuchten.png</w:t>
      </w:r>
    </w:p>
    <w:p w14:paraId="3F66937B" w14:textId="78156742" w:rsidR="00184B73" w:rsidRDefault="00184B73" w:rsidP="00E8109D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</w:rPr>
      </w:pPr>
    </w:p>
    <w:p w14:paraId="68274164" w14:textId="62D96858" w:rsidR="00184B73" w:rsidRDefault="00184B73" w:rsidP="00E8109D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</w:rPr>
      </w:pPr>
      <w:r>
        <w:rPr>
          <w:rFonts w:ascii="Arial" w:hAnsi="Arial"/>
        </w:rPr>
        <w:t>Som påbygningslys tilpasser Loox5 LED-spotlamperne i sort eller sølvfarvet sig nemt i hjørnerne af en udstillingsmontre.</w:t>
      </w:r>
    </w:p>
    <w:p w14:paraId="4984D1F5" w14:textId="77777777" w:rsidR="00184B73" w:rsidRPr="006B6A9E" w:rsidRDefault="00184B73" w:rsidP="00E8109D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</w:rPr>
      </w:pPr>
    </w:p>
    <w:p w14:paraId="4224F29A" w14:textId="7EC165D0" w:rsidR="0009446B" w:rsidRPr="006B6A9E" w:rsidRDefault="009A41EF" w:rsidP="00E8109D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/>
        <w:jc w:val="right"/>
        <w:outlineLvl w:val="0"/>
        <w:rPr>
          <w:rFonts w:ascii="Arial" w:hAnsi="Arial" w:cs="Arial"/>
        </w:rPr>
      </w:pPr>
      <w:r>
        <w:rPr>
          <w:rFonts w:ascii="Arial" w:hAnsi="Arial"/>
        </w:rPr>
        <w:t>Fotos: Häfele</w:t>
      </w:r>
    </w:p>
    <w:p w14:paraId="34F618D7" w14:textId="088674A9" w:rsidR="009C2466" w:rsidRPr="006B6A9E" w:rsidRDefault="009C2466" w:rsidP="009C2466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284"/>
        <w:outlineLvl w:val="0"/>
        <w:rPr>
          <w:rFonts w:ascii="Arial" w:hAnsi="Arial" w:cs="Arial"/>
        </w:rPr>
      </w:pPr>
    </w:p>
    <w:p w14:paraId="2297AAB1" w14:textId="77777777" w:rsidR="000C16B0" w:rsidRPr="006B6A9E" w:rsidRDefault="000C16B0" w:rsidP="009C2466">
      <w:pPr>
        <w:ind w:right="-1703"/>
        <w:rPr>
          <w:rFonts w:eastAsia="Calibri" w:cs="Arial"/>
          <w:b/>
          <w:bCs/>
          <w:color w:val="000000"/>
          <w:sz w:val="16"/>
          <w:szCs w:val="16"/>
        </w:rPr>
      </w:pPr>
    </w:p>
    <w:p w14:paraId="3F60EEF4" w14:textId="7321EEC1" w:rsidR="001C1B93" w:rsidRPr="006B6A9E" w:rsidRDefault="001C1B93" w:rsidP="009C2466">
      <w:pPr>
        <w:ind w:right="-1703"/>
        <w:rPr>
          <w:rFonts w:eastAsia="Calibri" w:cs="Arial"/>
          <w:b/>
          <w:bCs/>
          <w:color w:val="000000"/>
          <w:sz w:val="16"/>
          <w:szCs w:val="16"/>
        </w:rPr>
      </w:pPr>
      <w:r>
        <w:rPr>
          <w:b/>
          <w:color w:val="000000"/>
          <w:sz w:val="16"/>
        </w:rPr>
        <w:t>Om Häfele</w:t>
      </w:r>
    </w:p>
    <w:p w14:paraId="251AFABB" w14:textId="49D6BE1E" w:rsidR="009C2466" w:rsidRPr="006B6A9E" w:rsidRDefault="009C2466" w:rsidP="009C2466">
      <w:pPr>
        <w:ind w:right="-1703"/>
        <w:rPr>
          <w:rFonts w:eastAsia="Calibri" w:cs="Arial"/>
          <w:color w:val="000000"/>
          <w:sz w:val="16"/>
          <w:szCs w:val="16"/>
        </w:rPr>
      </w:pPr>
      <w:r>
        <w:rPr>
          <w:b/>
          <w:bCs/>
          <w:color w:val="000000"/>
          <w:sz w:val="16"/>
        </w:rPr>
        <w:t>Häfele</w:t>
      </w:r>
      <w:r>
        <w:rPr>
          <w:color w:val="000000"/>
          <w:sz w:val="16"/>
        </w:rPr>
        <w:t xml:space="preserve"> er en international virksomhedsgruppe med hovedsæde i Nagold, Tyskland. </w:t>
      </w:r>
      <w:r>
        <w:rPr>
          <w:sz w:val="16"/>
        </w:rPr>
        <w:t>Familievirksomheden blev grundlagt i 1923 og servicerer i dag møbelindustrien, arkitekter, entreprenører, snedkere og forhandlere i mere end 150 lande i verden med møbel- og bygningsbeslag, elektroniske låsesystemer og LED-lys</w:t>
      </w:r>
      <w:r>
        <w:rPr>
          <w:color w:val="000000"/>
          <w:sz w:val="16"/>
        </w:rPr>
        <w:t>. Häfele har udvikling og produktion i Tyskland og Ungarn. I regnskabsåret 2021 nåede Häfele Gruppen med en</w:t>
      </w:r>
      <w:r>
        <w:rPr>
          <w:sz w:val="16"/>
        </w:rPr>
        <w:t xml:space="preserve"> eksportandel på 79 % med 8000 medarbejdere, 38 </w:t>
      </w:r>
      <w:r>
        <w:rPr>
          <w:color w:val="000000"/>
          <w:sz w:val="16"/>
        </w:rPr>
        <w:t>datterselskaber og talrige andre forhandlere i hele verden en omsætning på 1,7 mia. euro.</w:t>
      </w:r>
    </w:p>
    <w:p w14:paraId="088B53B9" w14:textId="0DA8D0F9" w:rsidR="008155D1" w:rsidRPr="00D26CA4" w:rsidRDefault="00495BFD" w:rsidP="00D26CA4">
      <w:pPr>
        <w:spacing w:before="120"/>
        <w:ind w:right="-1701"/>
        <w:rPr>
          <w:rFonts w:eastAsia="Calibri" w:cs="Arial"/>
          <w:color w:val="000000"/>
          <w:sz w:val="16"/>
          <w:szCs w:val="16"/>
        </w:rPr>
      </w:pPr>
      <w:r>
        <w:rPr>
          <w:color w:val="000000"/>
          <w:sz w:val="16"/>
        </w:rPr>
        <w:t>Læs mere på www.haefele.dk.</w:t>
      </w:r>
    </w:p>
    <w:sectPr w:rsidR="008155D1" w:rsidRPr="00D26CA4" w:rsidSect="00CB243F">
      <w:headerReference w:type="default" r:id="rId8"/>
      <w:footerReference w:type="default" r:id="rId9"/>
      <w:pgSz w:w="11905" w:h="16837"/>
      <w:pgMar w:top="1701" w:right="2833" w:bottom="1843" w:left="1418" w:header="720" w:footer="5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366AB" w14:textId="77777777" w:rsidR="00CC7C73" w:rsidRDefault="00CC7C73">
      <w:r>
        <w:separator/>
      </w:r>
    </w:p>
  </w:endnote>
  <w:endnote w:type="continuationSeparator" w:id="0">
    <w:p w14:paraId="28C4EE12" w14:textId="77777777" w:rsidR="00CC7C73" w:rsidRDefault="00CC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5CA3" w14:textId="77777777" w:rsidR="005F0B35" w:rsidRDefault="005F0B35">
    <w:pPr>
      <w:rPr>
        <w:rFonts w:ascii="Helvetica" w:hAnsi="Helvetica"/>
      </w:rPr>
    </w:pPr>
  </w:p>
  <w:p w14:paraId="4F976DF8" w14:textId="0549C3EA" w:rsidR="005F0B35" w:rsidRPr="00D14796" w:rsidRDefault="005F0B35" w:rsidP="00A55255">
    <w:pPr>
      <w:ind w:right="-1703"/>
      <w:rPr>
        <w:sz w:val="17"/>
      </w:rPr>
    </w:pPr>
    <w:r>
      <w:rPr>
        <w:b/>
        <w:sz w:val="17"/>
      </w:rPr>
      <w:t>Häfele Danmark A/S</w:t>
    </w:r>
    <w:r>
      <w:rPr>
        <w:sz w:val="17"/>
      </w:rPr>
      <w:t xml:space="preserve"> ∙ Elskjærbakken 3 ∙ DK-7800 Skive ∙ Tlf. + 45 51 15 22 ∙ Fax + 45 97 51 12 13 ∙ www.haefele.dk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9EE02" w14:textId="77777777" w:rsidR="00CC7C73" w:rsidRDefault="00CC7C73">
      <w:r>
        <w:separator/>
      </w:r>
    </w:p>
  </w:footnote>
  <w:footnote w:type="continuationSeparator" w:id="0">
    <w:p w14:paraId="71FC28B6" w14:textId="77777777" w:rsidR="00CC7C73" w:rsidRDefault="00CC7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D90A0" w14:textId="77777777" w:rsidR="005F0B35" w:rsidRDefault="005F0B35">
    <w:pPr>
      <w:tabs>
        <w:tab w:val="left" w:pos="8343"/>
      </w:tabs>
      <w:jc w:val="right"/>
      <w:rPr>
        <w:b/>
        <w:sz w:val="12"/>
      </w:rPr>
    </w:pPr>
  </w:p>
  <w:p w14:paraId="3681F702" w14:textId="77777777" w:rsidR="005F0B35" w:rsidRDefault="005F0B35">
    <w:pPr>
      <w:tabs>
        <w:tab w:val="left" w:pos="8343"/>
      </w:tabs>
      <w:ind w:right="-1703"/>
      <w:jc w:val="right"/>
      <w:rPr>
        <w:b/>
      </w:rPr>
    </w:pPr>
    <w:r>
      <w:rPr>
        <w:b/>
        <w:noProof/>
        <w:lang w:eastAsia="da-DK"/>
      </w:rPr>
      <w:drawing>
        <wp:inline distT="0" distB="0" distL="0" distR="0" wp14:anchorId="771C3471" wp14:editId="1014BE76">
          <wp:extent cx="1924050" cy="3048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2EDDA00" w14:textId="77777777" w:rsidR="005F0B35" w:rsidRDefault="005F0B35">
    <w:pPr>
      <w:rPr>
        <w:b/>
        <w:lang w:val="fr-FR"/>
      </w:rPr>
    </w:pPr>
  </w:p>
  <w:p w14:paraId="69D0F668" w14:textId="77777777" w:rsidR="005F0B35" w:rsidRDefault="005F0B35">
    <w:pPr>
      <w:rPr>
        <w:b/>
        <w:color w:val="808080"/>
        <w:lang w:val="fr-FR"/>
      </w:rPr>
    </w:pPr>
  </w:p>
  <w:p w14:paraId="1089EDC5" w14:textId="77777777" w:rsidR="005F0B35" w:rsidRDefault="005F0B35">
    <w:pPr>
      <w:rPr>
        <w:b/>
        <w:color w:val="808080"/>
        <w:lang w:val="fr-FR"/>
      </w:rPr>
    </w:pPr>
  </w:p>
  <w:p w14:paraId="167346F5" w14:textId="77777777" w:rsidR="005F0B35" w:rsidRDefault="005F0B35">
    <w:pPr>
      <w:rPr>
        <w:b/>
      </w:rPr>
    </w:pPr>
    <w:r>
      <w:rPr>
        <w:b/>
      </w:rPr>
      <w:t>Pressemeddelelse ∙ Press Release ∙ Information de Presse</w:t>
    </w:r>
  </w:p>
  <w:p w14:paraId="4671DEB1" w14:textId="58083F06" w:rsidR="005F0B35" w:rsidRDefault="005F0B35">
    <w:pPr>
      <w:pStyle w:val="Sidehoved"/>
      <w:ind w:right="-1703"/>
      <w:jc w:val="right"/>
      <w:rPr>
        <w:color w:val="808080"/>
        <w:sz w:val="16"/>
      </w:rPr>
    </w:pPr>
    <w:r>
      <w:t xml:space="preserve">Side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1B1287">
      <w:rPr>
        <w:noProof/>
        <w:sz w:val="16"/>
      </w:rPr>
      <w:t>2</w:t>
    </w:r>
    <w:r>
      <w:rPr>
        <w:sz w:val="16"/>
      </w:rPr>
      <w:fldChar w:fldCharType="end"/>
    </w:r>
    <w:r>
      <w:t xml:space="preserve"> af </w:t>
    </w:r>
    <w:r>
      <w:rPr>
        <w:sz w:val="16"/>
      </w:rPr>
      <w:fldChar w:fldCharType="begin"/>
    </w:r>
    <w:r>
      <w:rPr>
        <w:sz w:val="16"/>
      </w:rPr>
      <w:instrText xml:space="preserve"> NUMPAGES \*Arabic </w:instrText>
    </w:r>
    <w:r>
      <w:rPr>
        <w:sz w:val="16"/>
      </w:rPr>
      <w:fldChar w:fldCharType="separate"/>
    </w:r>
    <w:r w:rsidR="001B1287">
      <w:rPr>
        <w:noProof/>
        <w:sz w:val="16"/>
      </w:rPr>
      <w:t>2</w:t>
    </w:r>
    <w:r>
      <w:rPr>
        <w:sz w:val="16"/>
      </w:rPr>
      <w:fldChar w:fldCharType="end"/>
    </w:r>
  </w:p>
  <w:p w14:paraId="19790FCF" w14:textId="77777777" w:rsidR="005F0B35" w:rsidRDefault="005F0B35">
    <w:pPr>
      <w:pStyle w:val="Sidehoved"/>
      <w:jc w:val="right"/>
      <w:rPr>
        <w:color w:val="808080"/>
        <w:sz w:val="16"/>
      </w:rPr>
    </w:pPr>
  </w:p>
  <w:p w14:paraId="54603411" w14:textId="77777777" w:rsidR="005F0B35" w:rsidRDefault="005F0B35">
    <w:pPr>
      <w:pStyle w:val="Sidehoved"/>
      <w:jc w:val="right"/>
      <w:rPr>
        <w:color w:val="808080"/>
        <w:sz w:val="16"/>
      </w:rPr>
    </w:pPr>
  </w:p>
  <w:p w14:paraId="09BA4F0A" w14:textId="77777777" w:rsidR="005F0B35" w:rsidRDefault="005F0B35">
    <w:pPr>
      <w:pStyle w:val="Sidehoved"/>
      <w:jc w:val="right"/>
      <w:rPr>
        <w:sz w:val="16"/>
      </w:rPr>
    </w:pPr>
  </w:p>
  <w:p w14:paraId="4B76E476" w14:textId="77777777" w:rsidR="005F0B35" w:rsidRDefault="005F0B35">
    <w:pPr>
      <w:pStyle w:val="Sidehoved"/>
      <w:jc w:val="right"/>
      <w:rPr>
        <w:sz w:val="16"/>
      </w:rPr>
    </w:pPr>
  </w:p>
  <w:p w14:paraId="2B2754B1" w14:textId="77777777" w:rsidR="005F0B35" w:rsidRDefault="005F0B35">
    <w:pPr>
      <w:pStyle w:val="Sidehoved"/>
      <w:jc w:val="right"/>
      <w:rPr>
        <w:sz w:val="16"/>
      </w:rPr>
    </w:pPr>
  </w:p>
  <w:p w14:paraId="1EE8CB44" w14:textId="77777777" w:rsidR="005F0B35" w:rsidRDefault="005F0B35">
    <w:pPr>
      <w:pStyle w:val="Sidehoved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A2"/>
    <w:rsid w:val="00001F63"/>
    <w:rsid w:val="00014495"/>
    <w:rsid w:val="00016E94"/>
    <w:rsid w:val="0001710A"/>
    <w:rsid w:val="000171A2"/>
    <w:rsid w:val="000238E4"/>
    <w:rsid w:val="00024829"/>
    <w:rsid w:val="00033064"/>
    <w:rsid w:val="00047457"/>
    <w:rsid w:val="00052CBE"/>
    <w:rsid w:val="000601D7"/>
    <w:rsid w:val="000624FD"/>
    <w:rsid w:val="000723DC"/>
    <w:rsid w:val="0007640B"/>
    <w:rsid w:val="00076C79"/>
    <w:rsid w:val="00083F70"/>
    <w:rsid w:val="00085794"/>
    <w:rsid w:val="0009446B"/>
    <w:rsid w:val="000955BB"/>
    <w:rsid w:val="00097252"/>
    <w:rsid w:val="000A021B"/>
    <w:rsid w:val="000A3E4C"/>
    <w:rsid w:val="000A7F66"/>
    <w:rsid w:val="000B2403"/>
    <w:rsid w:val="000B616D"/>
    <w:rsid w:val="000C16B0"/>
    <w:rsid w:val="000C4A7A"/>
    <w:rsid w:val="000D124C"/>
    <w:rsid w:val="000D2AC1"/>
    <w:rsid w:val="000D2E2D"/>
    <w:rsid w:val="000D323E"/>
    <w:rsid w:val="000D34FE"/>
    <w:rsid w:val="000E0EE7"/>
    <w:rsid w:val="000F071E"/>
    <w:rsid w:val="000F39E4"/>
    <w:rsid w:val="00111976"/>
    <w:rsid w:val="001165F1"/>
    <w:rsid w:val="001173C0"/>
    <w:rsid w:val="0012014C"/>
    <w:rsid w:val="00120B4D"/>
    <w:rsid w:val="00122417"/>
    <w:rsid w:val="00136338"/>
    <w:rsid w:val="00142362"/>
    <w:rsid w:val="001467F4"/>
    <w:rsid w:val="0015027C"/>
    <w:rsid w:val="00150C36"/>
    <w:rsid w:val="0015178D"/>
    <w:rsid w:val="0015384D"/>
    <w:rsid w:val="0015625E"/>
    <w:rsid w:val="001642F9"/>
    <w:rsid w:val="00165115"/>
    <w:rsid w:val="00170253"/>
    <w:rsid w:val="00177161"/>
    <w:rsid w:val="00181238"/>
    <w:rsid w:val="0018197E"/>
    <w:rsid w:val="00182CF1"/>
    <w:rsid w:val="00184B73"/>
    <w:rsid w:val="001871A2"/>
    <w:rsid w:val="001941A3"/>
    <w:rsid w:val="00196940"/>
    <w:rsid w:val="001A6595"/>
    <w:rsid w:val="001B0245"/>
    <w:rsid w:val="001B0ADB"/>
    <w:rsid w:val="001B1287"/>
    <w:rsid w:val="001C1B93"/>
    <w:rsid w:val="001C21B6"/>
    <w:rsid w:val="001C40AA"/>
    <w:rsid w:val="001C7809"/>
    <w:rsid w:val="001D2E48"/>
    <w:rsid w:val="001D6141"/>
    <w:rsid w:val="001E4931"/>
    <w:rsid w:val="001E531F"/>
    <w:rsid w:val="001E5A04"/>
    <w:rsid w:val="001F0111"/>
    <w:rsid w:val="001F20AD"/>
    <w:rsid w:val="001F4793"/>
    <w:rsid w:val="00204185"/>
    <w:rsid w:val="0020733B"/>
    <w:rsid w:val="002132F5"/>
    <w:rsid w:val="00214414"/>
    <w:rsid w:val="002146D5"/>
    <w:rsid w:val="002225CD"/>
    <w:rsid w:val="00231F6D"/>
    <w:rsid w:val="00232C0C"/>
    <w:rsid w:val="00250E8C"/>
    <w:rsid w:val="00252CF5"/>
    <w:rsid w:val="00263627"/>
    <w:rsid w:val="002672C9"/>
    <w:rsid w:val="002715FF"/>
    <w:rsid w:val="00275DD0"/>
    <w:rsid w:val="0028232C"/>
    <w:rsid w:val="00287259"/>
    <w:rsid w:val="00287880"/>
    <w:rsid w:val="00292919"/>
    <w:rsid w:val="00295347"/>
    <w:rsid w:val="002A1E6A"/>
    <w:rsid w:val="002A3724"/>
    <w:rsid w:val="002A74BC"/>
    <w:rsid w:val="002B40A5"/>
    <w:rsid w:val="002B50EE"/>
    <w:rsid w:val="002B7D59"/>
    <w:rsid w:val="002C06FC"/>
    <w:rsid w:val="002C35D2"/>
    <w:rsid w:val="002C66E9"/>
    <w:rsid w:val="002D0052"/>
    <w:rsid w:val="002D081B"/>
    <w:rsid w:val="002D7936"/>
    <w:rsid w:val="0030519A"/>
    <w:rsid w:val="003071FB"/>
    <w:rsid w:val="0030793A"/>
    <w:rsid w:val="0031277D"/>
    <w:rsid w:val="003161E4"/>
    <w:rsid w:val="00320F81"/>
    <w:rsid w:val="00323F91"/>
    <w:rsid w:val="00324442"/>
    <w:rsid w:val="00326598"/>
    <w:rsid w:val="003300FC"/>
    <w:rsid w:val="003410F4"/>
    <w:rsid w:val="003416D3"/>
    <w:rsid w:val="0034337F"/>
    <w:rsid w:val="003455F3"/>
    <w:rsid w:val="00345990"/>
    <w:rsid w:val="00357F7E"/>
    <w:rsid w:val="0036138C"/>
    <w:rsid w:val="00361ACB"/>
    <w:rsid w:val="00370287"/>
    <w:rsid w:val="00370BD5"/>
    <w:rsid w:val="003717A8"/>
    <w:rsid w:val="003800A1"/>
    <w:rsid w:val="003803EB"/>
    <w:rsid w:val="00382896"/>
    <w:rsid w:val="003831EF"/>
    <w:rsid w:val="00387A1C"/>
    <w:rsid w:val="00390BB8"/>
    <w:rsid w:val="003951ED"/>
    <w:rsid w:val="003B5855"/>
    <w:rsid w:val="003C0CC6"/>
    <w:rsid w:val="003C229A"/>
    <w:rsid w:val="003C5233"/>
    <w:rsid w:val="003C58A9"/>
    <w:rsid w:val="003D1E68"/>
    <w:rsid w:val="003D355B"/>
    <w:rsid w:val="003D7B65"/>
    <w:rsid w:val="003E0D38"/>
    <w:rsid w:val="003E2777"/>
    <w:rsid w:val="003F377A"/>
    <w:rsid w:val="004049C2"/>
    <w:rsid w:val="00411756"/>
    <w:rsid w:val="00411CBF"/>
    <w:rsid w:val="00413532"/>
    <w:rsid w:val="00417DE1"/>
    <w:rsid w:val="00417F72"/>
    <w:rsid w:val="0042267C"/>
    <w:rsid w:val="00427F32"/>
    <w:rsid w:val="00430835"/>
    <w:rsid w:val="004310E6"/>
    <w:rsid w:val="00431F19"/>
    <w:rsid w:val="00432B00"/>
    <w:rsid w:val="0043519A"/>
    <w:rsid w:val="0043655E"/>
    <w:rsid w:val="004401B8"/>
    <w:rsid w:val="00454631"/>
    <w:rsid w:val="00462879"/>
    <w:rsid w:val="004675F5"/>
    <w:rsid w:val="00470A98"/>
    <w:rsid w:val="004715E8"/>
    <w:rsid w:val="00476DA0"/>
    <w:rsid w:val="00487353"/>
    <w:rsid w:val="00493A05"/>
    <w:rsid w:val="00495BFD"/>
    <w:rsid w:val="004A5C02"/>
    <w:rsid w:val="004A64D0"/>
    <w:rsid w:val="004B029E"/>
    <w:rsid w:val="004B30BA"/>
    <w:rsid w:val="004B511C"/>
    <w:rsid w:val="004B7B3C"/>
    <w:rsid w:val="004C00E7"/>
    <w:rsid w:val="004C7734"/>
    <w:rsid w:val="004D2F50"/>
    <w:rsid w:val="004D3E01"/>
    <w:rsid w:val="004E0BB5"/>
    <w:rsid w:val="004E3500"/>
    <w:rsid w:val="004E4DB2"/>
    <w:rsid w:val="004E4FAC"/>
    <w:rsid w:val="004E5D25"/>
    <w:rsid w:val="004F3A6A"/>
    <w:rsid w:val="004F5DE5"/>
    <w:rsid w:val="004F5EA7"/>
    <w:rsid w:val="00503BCA"/>
    <w:rsid w:val="00506774"/>
    <w:rsid w:val="00514BAD"/>
    <w:rsid w:val="005150F6"/>
    <w:rsid w:val="00516142"/>
    <w:rsid w:val="00520323"/>
    <w:rsid w:val="00522C8F"/>
    <w:rsid w:val="00534352"/>
    <w:rsid w:val="00540485"/>
    <w:rsid w:val="00541509"/>
    <w:rsid w:val="005433D3"/>
    <w:rsid w:val="00543F5B"/>
    <w:rsid w:val="005509D3"/>
    <w:rsid w:val="00554B1B"/>
    <w:rsid w:val="005623A3"/>
    <w:rsid w:val="005626F0"/>
    <w:rsid w:val="005630C3"/>
    <w:rsid w:val="00571B6F"/>
    <w:rsid w:val="00574E75"/>
    <w:rsid w:val="00581DB2"/>
    <w:rsid w:val="00583A97"/>
    <w:rsid w:val="005845CA"/>
    <w:rsid w:val="00584EA6"/>
    <w:rsid w:val="00586606"/>
    <w:rsid w:val="005922F5"/>
    <w:rsid w:val="00593226"/>
    <w:rsid w:val="005A0001"/>
    <w:rsid w:val="005A1E6E"/>
    <w:rsid w:val="005A214B"/>
    <w:rsid w:val="005A46F0"/>
    <w:rsid w:val="005B3B31"/>
    <w:rsid w:val="005B6B5F"/>
    <w:rsid w:val="005C10A8"/>
    <w:rsid w:val="005C3660"/>
    <w:rsid w:val="005C37F6"/>
    <w:rsid w:val="005C741D"/>
    <w:rsid w:val="005C7E25"/>
    <w:rsid w:val="005D374C"/>
    <w:rsid w:val="005D3B41"/>
    <w:rsid w:val="005D76E8"/>
    <w:rsid w:val="005E1A8F"/>
    <w:rsid w:val="005F0B35"/>
    <w:rsid w:val="005F208A"/>
    <w:rsid w:val="005F30E6"/>
    <w:rsid w:val="005F3BEF"/>
    <w:rsid w:val="005F4495"/>
    <w:rsid w:val="005F49F6"/>
    <w:rsid w:val="005F7526"/>
    <w:rsid w:val="006071A1"/>
    <w:rsid w:val="0061219D"/>
    <w:rsid w:val="006219FF"/>
    <w:rsid w:val="00621D4C"/>
    <w:rsid w:val="00632B73"/>
    <w:rsid w:val="006364D8"/>
    <w:rsid w:val="00640710"/>
    <w:rsid w:val="00644FFE"/>
    <w:rsid w:val="0064541F"/>
    <w:rsid w:val="00650006"/>
    <w:rsid w:val="00660DCE"/>
    <w:rsid w:val="0066600E"/>
    <w:rsid w:val="00666400"/>
    <w:rsid w:val="00670846"/>
    <w:rsid w:val="00673410"/>
    <w:rsid w:val="00673BC6"/>
    <w:rsid w:val="00674363"/>
    <w:rsid w:val="00676BE5"/>
    <w:rsid w:val="006806CD"/>
    <w:rsid w:val="00681BF1"/>
    <w:rsid w:val="00682D19"/>
    <w:rsid w:val="006846A6"/>
    <w:rsid w:val="006957BD"/>
    <w:rsid w:val="00695D2B"/>
    <w:rsid w:val="00696C49"/>
    <w:rsid w:val="006A51F1"/>
    <w:rsid w:val="006A72D2"/>
    <w:rsid w:val="006B6A9E"/>
    <w:rsid w:val="006D12B2"/>
    <w:rsid w:val="006D6A16"/>
    <w:rsid w:val="006F0669"/>
    <w:rsid w:val="006F1EE8"/>
    <w:rsid w:val="006F2DE1"/>
    <w:rsid w:val="006F51E3"/>
    <w:rsid w:val="006F5E19"/>
    <w:rsid w:val="007018A9"/>
    <w:rsid w:val="00705BD6"/>
    <w:rsid w:val="0070693D"/>
    <w:rsid w:val="00713050"/>
    <w:rsid w:val="00717592"/>
    <w:rsid w:val="00720274"/>
    <w:rsid w:val="00725DD4"/>
    <w:rsid w:val="00726FC6"/>
    <w:rsid w:val="00727248"/>
    <w:rsid w:val="00732641"/>
    <w:rsid w:val="00734497"/>
    <w:rsid w:val="00736FA1"/>
    <w:rsid w:val="007415DC"/>
    <w:rsid w:val="0075307D"/>
    <w:rsid w:val="0075672E"/>
    <w:rsid w:val="007628BB"/>
    <w:rsid w:val="007666CB"/>
    <w:rsid w:val="00766ED2"/>
    <w:rsid w:val="00770481"/>
    <w:rsid w:val="00773A8F"/>
    <w:rsid w:val="0077479D"/>
    <w:rsid w:val="00781875"/>
    <w:rsid w:val="00794CC4"/>
    <w:rsid w:val="007A44DA"/>
    <w:rsid w:val="007A7CD7"/>
    <w:rsid w:val="007B353D"/>
    <w:rsid w:val="007B55EE"/>
    <w:rsid w:val="007B604F"/>
    <w:rsid w:val="007B7B94"/>
    <w:rsid w:val="007C393A"/>
    <w:rsid w:val="007D13AD"/>
    <w:rsid w:val="007E2764"/>
    <w:rsid w:val="007E4D6D"/>
    <w:rsid w:val="007E67D6"/>
    <w:rsid w:val="007F5B45"/>
    <w:rsid w:val="00803339"/>
    <w:rsid w:val="00804D92"/>
    <w:rsid w:val="008056EC"/>
    <w:rsid w:val="00814628"/>
    <w:rsid w:val="008153EC"/>
    <w:rsid w:val="008155D1"/>
    <w:rsid w:val="00815CBF"/>
    <w:rsid w:val="008201C2"/>
    <w:rsid w:val="008204D4"/>
    <w:rsid w:val="00824A82"/>
    <w:rsid w:val="00830933"/>
    <w:rsid w:val="00833199"/>
    <w:rsid w:val="008454D4"/>
    <w:rsid w:val="00850690"/>
    <w:rsid w:val="00851DA2"/>
    <w:rsid w:val="00856A26"/>
    <w:rsid w:val="00861BF6"/>
    <w:rsid w:val="008665D9"/>
    <w:rsid w:val="00867A2E"/>
    <w:rsid w:val="00873E08"/>
    <w:rsid w:val="008755C2"/>
    <w:rsid w:val="00881C94"/>
    <w:rsid w:val="00882D8D"/>
    <w:rsid w:val="008846FE"/>
    <w:rsid w:val="008878B3"/>
    <w:rsid w:val="008A2637"/>
    <w:rsid w:val="008A4465"/>
    <w:rsid w:val="008B07D1"/>
    <w:rsid w:val="008B51FA"/>
    <w:rsid w:val="008B609A"/>
    <w:rsid w:val="008B7018"/>
    <w:rsid w:val="008B7686"/>
    <w:rsid w:val="008C07D3"/>
    <w:rsid w:val="008C15D9"/>
    <w:rsid w:val="008D3D2C"/>
    <w:rsid w:val="008D4925"/>
    <w:rsid w:val="008F5B35"/>
    <w:rsid w:val="0090114A"/>
    <w:rsid w:val="00910460"/>
    <w:rsid w:val="00920836"/>
    <w:rsid w:val="00920D91"/>
    <w:rsid w:val="00923BCF"/>
    <w:rsid w:val="00923F06"/>
    <w:rsid w:val="009304F6"/>
    <w:rsid w:val="00931E2C"/>
    <w:rsid w:val="00935E02"/>
    <w:rsid w:val="00937284"/>
    <w:rsid w:val="00940B4B"/>
    <w:rsid w:val="00952A58"/>
    <w:rsid w:val="009563BA"/>
    <w:rsid w:val="00961781"/>
    <w:rsid w:val="00963F2C"/>
    <w:rsid w:val="00970279"/>
    <w:rsid w:val="00972C29"/>
    <w:rsid w:val="00974302"/>
    <w:rsid w:val="009744AC"/>
    <w:rsid w:val="009751ED"/>
    <w:rsid w:val="009755A7"/>
    <w:rsid w:val="00981465"/>
    <w:rsid w:val="0098507F"/>
    <w:rsid w:val="0098571B"/>
    <w:rsid w:val="009862E8"/>
    <w:rsid w:val="0099163F"/>
    <w:rsid w:val="0099622B"/>
    <w:rsid w:val="009A0C0F"/>
    <w:rsid w:val="009A41EF"/>
    <w:rsid w:val="009B18ED"/>
    <w:rsid w:val="009B260C"/>
    <w:rsid w:val="009B29F9"/>
    <w:rsid w:val="009B4BB3"/>
    <w:rsid w:val="009B6D94"/>
    <w:rsid w:val="009B6F00"/>
    <w:rsid w:val="009C030A"/>
    <w:rsid w:val="009C2466"/>
    <w:rsid w:val="009C257A"/>
    <w:rsid w:val="009C3EA2"/>
    <w:rsid w:val="009D1A9B"/>
    <w:rsid w:val="009D4423"/>
    <w:rsid w:val="009E2CBF"/>
    <w:rsid w:val="009E2F10"/>
    <w:rsid w:val="009E70FD"/>
    <w:rsid w:val="00A20F78"/>
    <w:rsid w:val="00A26282"/>
    <w:rsid w:val="00A312B4"/>
    <w:rsid w:val="00A36731"/>
    <w:rsid w:val="00A36771"/>
    <w:rsid w:val="00A4215E"/>
    <w:rsid w:val="00A423F0"/>
    <w:rsid w:val="00A43ABC"/>
    <w:rsid w:val="00A43FAF"/>
    <w:rsid w:val="00A55255"/>
    <w:rsid w:val="00A73305"/>
    <w:rsid w:val="00A848A3"/>
    <w:rsid w:val="00A84D48"/>
    <w:rsid w:val="00A86B32"/>
    <w:rsid w:val="00A9496F"/>
    <w:rsid w:val="00AA68BD"/>
    <w:rsid w:val="00AB1A18"/>
    <w:rsid w:val="00AC5401"/>
    <w:rsid w:val="00AC72AF"/>
    <w:rsid w:val="00AF02AB"/>
    <w:rsid w:val="00AF0809"/>
    <w:rsid w:val="00AF226C"/>
    <w:rsid w:val="00AF2D47"/>
    <w:rsid w:val="00AF3C12"/>
    <w:rsid w:val="00B12B47"/>
    <w:rsid w:val="00B14F26"/>
    <w:rsid w:val="00B228F4"/>
    <w:rsid w:val="00B22FF7"/>
    <w:rsid w:val="00B2616A"/>
    <w:rsid w:val="00B40FC0"/>
    <w:rsid w:val="00B51461"/>
    <w:rsid w:val="00B540A7"/>
    <w:rsid w:val="00B55B9E"/>
    <w:rsid w:val="00B63458"/>
    <w:rsid w:val="00B635F3"/>
    <w:rsid w:val="00B655FF"/>
    <w:rsid w:val="00B77F55"/>
    <w:rsid w:val="00B8242A"/>
    <w:rsid w:val="00B83A97"/>
    <w:rsid w:val="00B8758D"/>
    <w:rsid w:val="00B94890"/>
    <w:rsid w:val="00BA2688"/>
    <w:rsid w:val="00BA3FC9"/>
    <w:rsid w:val="00BA41A9"/>
    <w:rsid w:val="00BB2989"/>
    <w:rsid w:val="00BB5EEE"/>
    <w:rsid w:val="00BB6382"/>
    <w:rsid w:val="00BC0519"/>
    <w:rsid w:val="00BC0629"/>
    <w:rsid w:val="00BD2026"/>
    <w:rsid w:val="00BD4D99"/>
    <w:rsid w:val="00BE5F05"/>
    <w:rsid w:val="00BE7D16"/>
    <w:rsid w:val="00C03817"/>
    <w:rsid w:val="00C03E42"/>
    <w:rsid w:val="00C174E0"/>
    <w:rsid w:val="00C22960"/>
    <w:rsid w:val="00C27A71"/>
    <w:rsid w:val="00C32516"/>
    <w:rsid w:val="00C3459A"/>
    <w:rsid w:val="00C36914"/>
    <w:rsid w:val="00C37E4B"/>
    <w:rsid w:val="00C52700"/>
    <w:rsid w:val="00C53D3B"/>
    <w:rsid w:val="00C554A7"/>
    <w:rsid w:val="00C57AEB"/>
    <w:rsid w:val="00C615AC"/>
    <w:rsid w:val="00C76C53"/>
    <w:rsid w:val="00C76F4B"/>
    <w:rsid w:val="00C779BE"/>
    <w:rsid w:val="00C977BF"/>
    <w:rsid w:val="00CA1C77"/>
    <w:rsid w:val="00CA4B1A"/>
    <w:rsid w:val="00CB243F"/>
    <w:rsid w:val="00CB72C9"/>
    <w:rsid w:val="00CC25E1"/>
    <w:rsid w:val="00CC44E2"/>
    <w:rsid w:val="00CC535A"/>
    <w:rsid w:val="00CC55F6"/>
    <w:rsid w:val="00CC7C73"/>
    <w:rsid w:val="00CC7FB1"/>
    <w:rsid w:val="00CD7BD4"/>
    <w:rsid w:val="00CE15FC"/>
    <w:rsid w:val="00CE481A"/>
    <w:rsid w:val="00CE59CE"/>
    <w:rsid w:val="00CE77D1"/>
    <w:rsid w:val="00CF2C9D"/>
    <w:rsid w:val="00D11E7E"/>
    <w:rsid w:val="00D11EA5"/>
    <w:rsid w:val="00D120B1"/>
    <w:rsid w:val="00D13B9C"/>
    <w:rsid w:val="00D14796"/>
    <w:rsid w:val="00D14E84"/>
    <w:rsid w:val="00D23FAF"/>
    <w:rsid w:val="00D26CA4"/>
    <w:rsid w:val="00D3224D"/>
    <w:rsid w:val="00D32D05"/>
    <w:rsid w:val="00D3385A"/>
    <w:rsid w:val="00D443CF"/>
    <w:rsid w:val="00D52F2A"/>
    <w:rsid w:val="00D561AF"/>
    <w:rsid w:val="00D56D17"/>
    <w:rsid w:val="00D636D4"/>
    <w:rsid w:val="00D674BB"/>
    <w:rsid w:val="00D70793"/>
    <w:rsid w:val="00D716E0"/>
    <w:rsid w:val="00D73673"/>
    <w:rsid w:val="00D84881"/>
    <w:rsid w:val="00D86B85"/>
    <w:rsid w:val="00D8751B"/>
    <w:rsid w:val="00D87E83"/>
    <w:rsid w:val="00D87F0D"/>
    <w:rsid w:val="00D904C0"/>
    <w:rsid w:val="00D94E7B"/>
    <w:rsid w:val="00DA1404"/>
    <w:rsid w:val="00DA14AE"/>
    <w:rsid w:val="00DA7566"/>
    <w:rsid w:val="00DC1393"/>
    <w:rsid w:val="00DC1EB2"/>
    <w:rsid w:val="00DC5081"/>
    <w:rsid w:val="00DE4784"/>
    <w:rsid w:val="00DF4EDC"/>
    <w:rsid w:val="00E02439"/>
    <w:rsid w:val="00E03D8F"/>
    <w:rsid w:val="00E04195"/>
    <w:rsid w:val="00E045EF"/>
    <w:rsid w:val="00E077DA"/>
    <w:rsid w:val="00E14833"/>
    <w:rsid w:val="00E271CA"/>
    <w:rsid w:val="00E27361"/>
    <w:rsid w:val="00E42129"/>
    <w:rsid w:val="00E432FE"/>
    <w:rsid w:val="00E44DE1"/>
    <w:rsid w:val="00E50467"/>
    <w:rsid w:val="00E55560"/>
    <w:rsid w:val="00E60554"/>
    <w:rsid w:val="00E7255C"/>
    <w:rsid w:val="00E72EF5"/>
    <w:rsid w:val="00E7427F"/>
    <w:rsid w:val="00E8109D"/>
    <w:rsid w:val="00E821C4"/>
    <w:rsid w:val="00E849B4"/>
    <w:rsid w:val="00EA014F"/>
    <w:rsid w:val="00EA0CF3"/>
    <w:rsid w:val="00EA1892"/>
    <w:rsid w:val="00EA24C5"/>
    <w:rsid w:val="00EA28D3"/>
    <w:rsid w:val="00EB7558"/>
    <w:rsid w:val="00EC5130"/>
    <w:rsid w:val="00EC72FA"/>
    <w:rsid w:val="00ED4EA7"/>
    <w:rsid w:val="00EE34AC"/>
    <w:rsid w:val="00EE5F6F"/>
    <w:rsid w:val="00F02719"/>
    <w:rsid w:val="00F11ED2"/>
    <w:rsid w:val="00F16C3C"/>
    <w:rsid w:val="00F210C9"/>
    <w:rsid w:val="00F2141E"/>
    <w:rsid w:val="00F221EE"/>
    <w:rsid w:val="00F231EF"/>
    <w:rsid w:val="00F27177"/>
    <w:rsid w:val="00F31512"/>
    <w:rsid w:val="00F35154"/>
    <w:rsid w:val="00F458DF"/>
    <w:rsid w:val="00F471CF"/>
    <w:rsid w:val="00F5283E"/>
    <w:rsid w:val="00F56FDC"/>
    <w:rsid w:val="00F660FB"/>
    <w:rsid w:val="00F70067"/>
    <w:rsid w:val="00F80019"/>
    <w:rsid w:val="00F8248A"/>
    <w:rsid w:val="00F82A98"/>
    <w:rsid w:val="00F83A39"/>
    <w:rsid w:val="00F83DBF"/>
    <w:rsid w:val="00F840AE"/>
    <w:rsid w:val="00F846CD"/>
    <w:rsid w:val="00F8689F"/>
    <w:rsid w:val="00F87212"/>
    <w:rsid w:val="00F93FFF"/>
    <w:rsid w:val="00FA1036"/>
    <w:rsid w:val="00FA12F9"/>
    <w:rsid w:val="00FA1A2C"/>
    <w:rsid w:val="00FA7159"/>
    <w:rsid w:val="00FC2255"/>
    <w:rsid w:val="00FC24A6"/>
    <w:rsid w:val="00FD16B1"/>
    <w:rsid w:val="00FD49C5"/>
    <w:rsid w:val="00FD5552"/>
    <w:rsid w:val="00FD5766"/>
    <w:rsid w:val="00FD6B37"/>
    <w:rsid w:val="00FD6E64"/>
    <w:rsid w:val="00FD7B2C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4A3B9772"/>
  <w15:docId w15:val="{57D9E33F-E488-D246-88A5-33DE80D5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ind w:left="0" w:right="-1135" w:firstLine="0"/>
      <w:textAlignment w:val="baseline"/>
      <w:outlineLvl w:val="0"/>
    </w:pPr>
    <w:rPr>
      <w:rFonts w:ascii="Times New Roman" w:hAnsi="Times New Roman"/>
      <w:sz w:val="24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overflowPunct w:val="0"/>
      <w:autoSpaceDE w:val="0"/>
      <w:spacing w:after="100"/>
      <w:ind w:left="0" w:right="-568" w:firstLine="0"/>
      <w:textAlignment w:val="baseline"/>
      <w:outlineLvl w:val="2"/>
    </w:pPr>
    <w:rPr>
      <w:rFonts w:ascii="Times New Roman" w:hAnsi="Times New Roman"/>
      <w:sz w:val="24"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bsatzstandardschriftart1">
    <w:name w:val="Absatzstandardschriftart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Arial" w:hAnsi="Arial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rPr>
      <w:color w:val="0000FF"/>
      <w:u w:val="single"/>
    </w:rPr>
  </w:style>
  <w:style w:type="character" w:customStyle="1" w:styleId="HeadHfeleMPR">
    <w:name w:val="Head Häfele MPR"/>
    <w:rPr>
      <w:rFonts w:ascii="Arial" w:hAnsi="Arial"/>
      <w:b/>
      <w:color w:val="auto"/>
      <w:sz w:val="36"/>
    </w:rPr>
  </w:style>
  <w:style w:type="character" w:customStyle="1" w:styleId="KopfzeileHfeleMPR">
    <w:name w:val="Kopfzeile Häfele MPR"/>
    <w:rPr>
      <w:rFonts w:ascii="Arial" w:hAnsi="Arial"/>
      <w:b/>
      <w:color w:val="auto"/>
      <w:sz w:val="24"/>
    </w:rPr>
  </w:style>
  <w:style w:type="character" w:styleId="BesgtLink">
    <w:name w:val="FollowedHyperlink"/>
    <w:rPr>
      <w:color w:val="800080"/>
      <w:u w:val="single"/>
    </w:rPr>
  </w:style>
  <w:style w:type="character" w:customStyle="1" w:styleId="berschrift5Zchn">
    <w:name w:val="Überschrift 5 Zchn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Arial" w:hAnsi="Arial"/>
    </w:rPr>
  </w:style>
  <w:style w:type="character" w:customStyle="1" w:styleId="KommentarthemaZchn">
    <w:name w:val="Kommentarthema Zchn"/>
    <w:rPr>
      <w:rFonts w:ascii="Arial" w:hAnsi="Arial"/>
      <w:b/>
      <w:bCs/>
    </w:rPr>
  </w:style>
  <w:style w:type="paragraph" w:customStyle="1" w:styleId="berschrift">
    <w:name w:val="Überschrift"/>
    <w:basedOn w:val="Normal"/>
    <w:next w:val="Brdtekst"/>
    <w:pPr>
      <w:keepNext/>
      <w:spacing w:before="240" w:after="120"/>
    </w:pPr>
    <w:rPr>
      <w:rFonts w:eastAsia="Arial" w:cs="Tahoma"/>
      <w:sz w:val="28"/>
      <w:szCs w:val="28"/>
    </w:rPr>
  </w:style>
  <w:style w:type="paragraph" w:styleId="Brdtekst">
    <w:name w:val="Body Text"/>
    <w:pPr>
      <w:suppressAutoHyphens/>
      <w:spacing w:after="100"/>
    </w:pPr>
    <w:rPr>
      <w:rFonts w:eastAsia="ヒラギノ角ゴ Pro W3"/>
      <w:color w:val="000000"/>
      <w:sz w:val="24"/>
      <w:szCs w:val="24"/>
      <w:lang w:eastAsia="ar-SA"/>
    </w:rPr>
  </w:style>
  <w:style w:type="paragraph" w:styleId="Liste">
    <w:name w:val="List"/>
    <w:basedOn w:val="Brdtekst"/>
    <w:rPr>
      <w:rFonts w:cs="Tahom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Normal"/>
    <w:pPr>
      <w:suppressLineNumbers/>
    </w:pPr>
    <w:rPr>
      <w:rFonts w:cs="Tahoma"/>
    </w:rPr>
  </w:style>
  <w:style w:type="paragraph" w:styleId="Sidehoved">
    <w:name w:val="header"/>
    <w:basedOn w:val="Normal"/>
  </w:style>
  <w:style w:type="paragraph" w:styleId="Sidefod">
    <w:name w:val="footer"/>
    <w:basedOn w:val="Normal"/>
  </w:style>
  <w:style w:type="paragraph" w:customStyle="1" w:styleId="FlietextHaefele-PR">
    <w:name w:val="Fließtext Haefele-PR"/>
    <w:basedOn w:val="Normal"/>
    <w:pPr>
      <w:spacing w:line="260" w:lineRule="exact"/>
    </w:pPr>
    <w:rPr>
      <w:rFonts w:ascii="Times" w:eastAsia="Times" w:hAnsi="Times"/>
      <w:sz w:val="24"/>
    </w:rPr>
  </w:style>
  <w:style w:type="paragraph" w:customStyle="1" w:styleId="ZwischenberschriftHaefele-PR">
    <w:name w:val="Zwischenüberschrift Haefele-PR"/>
    <w:basedOn w:val="FlietextHaefele-PR"/>
    <w:pPr>
      <w:spacing w:before="100" w:after="100"/>
    </w:pPr>
    <w:rPr>
      <w:rFonts w:ascii="Arial" w:hAnsi="Arial"/>
      <w:b/>
      <w:sz w:val="20"/>
    </w:rPr>
  </w:style>
  <w:style w:type="paragraph" w:customStyle="1" w:styleId="Text">
    <w:name w:val="Text"/>
    <w:pPr>
      <w:suppressAutoHyphens/>
    </w:pPr>
    <w:rPr>
      <w:rFonts w:ascii="Helvetica" w:eastAsia="ヒラギノ角ゴ Pro W3" w:hAnsi="Helvetica"/>
      <w:color w:val="000000"/>
      <w:sz w:val="24"/>
      <w:szCs w:val="24"/>
      <w:lang w:eastAsia="ar-SA"/>
    </w:rPr>
  </w:style>
  <w:style w:type="paragraph" w:styleId="Markeringsbobletekst">
    <w:name w:val="Balloon Text"/>
    <w:basedOn w:val="Normal"/>
    <w:rPr>
      <w:rFonts w:ascii="Tahoma" w:hAnsi="Tahoma" w:cs="ヒラギノ角ゴ Pro W3"/>
      <w:sz w:val="16"/>
      <w:szCs w:val="16"/>
    </w:rPr>
  </w:style>
  <w:style w:type="paragraph" w:customStyle="1" w:styleId="Kommentartext1">
    <w:name w:val="Kommentartext1"/>
    <w:basedOn w:val="Normal"/>
    <w:rPr>
      <w:sz w:val="20"/>
      <w:szCs w:val="20"/>
    </w:rPr>
  </w:style>
  <w:style w:type="paragraph" w:styleId="Kommentaremne">
    <w:name w:val="annotation subject"/>
    <w:basedOn w:val="Kommentartext1"/>
    <w:next w:val="Kommentartext1"/>
    <w:rPr>
      <w:b/>
      <w:bCs/>
    </w:rPr>
  </w:style>
  <w:style w:type="character" w:customStyle="1" w:styleId="st">
    <w:name w:val="st"/>
    <w:rsid w:val="004E0BB5"/>
  </w:style>
  <w:style w:type="character" w:styleId="Fremhv">
    <w:name w:val="Emphasis"/>
    <w:uiPriority w:val="20"/>
    <w:qFormat/>
    <w:rsid w:val="004E0BB5"/>
    <w:rPr>
      <w:i/>
      <w:iCs/>
    </w:rPr>
  </w:style>
  <w:style w:type="paragraph" w:styleId="Korrektur">
    <w:name w:val="Revision"/>
    <w:hidden/>
    <w:uiPriority w:val="99"/>
    <w:semiHidden/>
    <w:rsid w:val="00292919"/>
    <w:rPr>
      <w:rFonts w:ascii="Arial" w:hAnsi="Arial"/>
      <w:sz w:val="22"/>
      <w:szCs w:val="24"/>
      <w:lang w:eastAsia="ar-SA"/>
    </w:rPr>
  </w:style>
  <w:style w:type="character" w:customStyle="1" w:styleId="NichtaufgelsteErwhnung1">
    <w:name w:val="Nicht aufgelöste Erwähnung1"/>
    <w:basedOn w:val="Standardskrifttypeiafsnit"/>
    <w:uiPriority w:val="99"/>
    <w:semiHidden/>
    <w:unhideWhenUsed/>
    <w:rsid w:val="00BE5F05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B6B5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B6B5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B6B5F"/>
    <w:rPr>
      <w:rFonts w:ascii="Arial" w:hAnsi="Arial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5B6B5F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styleId="Strk">
    <w:name w:val="Strong"/>
    <w:basedOn w:val="Standardskrifttypeiafsnit"/>
    <w:uiPriority w:val="22"/>
    <w:qFormat/>
    <w:rsid w:val="005B6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945E-19CE-44CF-A2A8-2EA523F2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3032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Häfele</Company>
  <LinksUpToDate>false</LinksUpToDate>
  <CharactersWithSpaces>3521</CharactersWithSpaces>
  <SharedDoc>false</SharedDoc>
  <HLinks>
    <vt:vector size="6" baseType="variant">
      <vt:variant>
        <vt:i4>852002</vt:i4>
      </vt:variant>
      <vt:variant>
        <vt:i4>6</vt:i4>
      </vt:variant>
      <vt:variant>
        <vt:i4>0</vt:i4>
      </vt:variant>
      <vt:variant>
        <vt:i4>5</vt:i4>
      </vt:variant>
      <vt:variant>
        <vt:lpwstr>mailto:info@haefele.de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Koehler</dc:creator>
  <cp:lastModifiedBy>Woxholt, Randi</cp:lastModifiedBy>
  <cp:revision>2</cp:revision>
  <cp:lastPrinted>2023-01-12T08:47:00Z</cp:lastPrinted>
  <dcterms:created xsi:type="dcterms:W3CDTF">2023-01-12T09:02:00Z</dcterms:created>
  <dcterms:modified xsi:type="dcterms:W3CDTF">2023-01-12T09:02:00Z</dcterms:modified>
</cp:coreProperties>
</file>